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15,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Zhen Fan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Haoxi Health Technology Ltd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Room 801, Tower C, Floor 8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Building 103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Huizhongli, Chaoyang District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Beijing, China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Haoxi Health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 Ltd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October 24,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333-274214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Zhen Fan: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a comment applies to your facts and circumstances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do not 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letter, we may have additional comments.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Unless we note otherwise,</w:t>
      </w:r>
    </w:p>
    <w:p>
      <w:pPr>
        <w:ind w:right="21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references to prior comments are to comments in our September 27, 2023 letter.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Amendment No. 2 to Registration Statement on Form F-1, Filed October 24,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3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Risk Factors</w:t>
            </w:r>
          </w:p>
        </w:tc>
        <w:tc>
          <w:tcPr>
            <w:tcW w:w="6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Risks Related to Doing Business in China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There are uncertainties regarding the interpretation and enforcement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PRC laws..., page 20</w:t>
            </w:r>
          </w:p>
        </w:tc>
        <w:tc>
          <w:tcPr>
            <w:tcW w:w="6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10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0" w:type="dxa"/>
            <w:vAlign w:val="bottom"/>
          </w:tcPr>
          <w:p>
            <w:pPr>
              <w:ind w:left="3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comment 1 and reissue in part. Please restore the language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0" w:type="dxa"/>
            <w:vAlign w:val="bottom"/>
          </w:tcPr>
          <w:p>
            <w:pPr>
              <w:ind w:left="35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this risk factor to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version contained in the registration statement dated August 25,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0" w:type="dxa"/>
            <w:vAlign w:val="bottom"/>
          </w:tcPr>
          <w:p>
            <w:pPr>
              <w:ind w:left="35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2023. We do not believe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your revised disclosure conveys the significant discretion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0" w:type="dxa"/>
            <w:vAlign w:val="bottom"/>
          </w:tcPr>
          <w:p>
            <w:pPr>
              <w:ind w:left="35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enforcement of laws,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rules and regulations, and that enforcement can be inconsistent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0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Zhen Fan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0" w:type="dxa"/>
            <w:vAlign w:val="bottom"/>
          </w:tcPr>
          <w:p>
            <w:pPr>
              <w:ind w:left="3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unpredictable.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FirstName LastNameZhen</w:t>
            </w:r>
          </w:p>
        </w:tc>
        <w:tc>
          <w:tcPr>
            <w:tcW w:w="60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Haoxi Health Technology 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15,</w:t>
            </w:r>
          </w:p>
        </w:tc>
        <w:tc>
          <w:tcPr>
            <w:tcW w:w="6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November</w:t>
            </w:r>
          </w:p>
        </w:tc>
        <w:tc>
          <w:tcPr>
            <w:tcW w:w="13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NameHaoxi</w:t>
            </w:r>
          </w:p>
        </w:tc>
        <w:tc>
          <w:tcPr>
            <w:tcW w:w="6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Health Technology 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November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</w:t>
            </w:r>
          </w:p>
        </w:tc>
        <w:tc>
          <w:tcPr>
            <w:tcW w:w="60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3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15, 2023 Page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  <w:tc>
          <w:tcPr>
            <w:tcW w:w="7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6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PRC government exerts substantial influence over..., page 22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1 and reissue in part. Please restore the language in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risk factor to the version contained in the registration statement dated August 25,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2023. We do not believe that your revised disclosure conveys the substantial control the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Chinese government exercises over the Chinese economy or that future actions could have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significant economic infect on economic conditions in China or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 you to divest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yourselves of interests held in your operations in China.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PRC regulations regarding acquisitions impose significant regulatory approval and review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requirements, which could make it more..., page 27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1 and reissue in part. Please restore the language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found in the final paragraph of this risk factor to the version contained in the registration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dated August 25, 2023. We do not believe that your revised disclosure that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removes detailed references to the regulatory oversight of SAMR and MOFCOM conveys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same risks.</w:t>
      </w:r>
    </w:p>
    <w:p>
      <w:pPr>
        <w:ind w:right="21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Recent joint statement by the SEC and the PCAOB, rule changes by Nasdaq, and the HFCA Act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 call for additional and more stringent..., page 33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1 and reissue in part. We note the new disclosure in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risk factor, particularly in the first and last paragraphs of this risk factor on page 34,</w:t>
      </w:r>
    </w:p>
    <w:p>
      <w:pPr>
        <w:ind w:right="29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restore the language to the version contained in the registration statement dated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25, 2023. We do not believe that your revised disclosure, that no longer states that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PCAOB was not given access to inspections in China, and the removal of the distinct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risk of the PCAOB being obstructed, conveys the same risk. Please also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make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corresponding changes to the PCAOB related disclosure on the cover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page.</w:t>
      </w:r>
    </w:p>
    <w:p>
      <w:pPr>
        <w:ind w:right="2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Limitations on the availability of data and the operating entity's ability to analyze such data could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affect its optimization capability..., page 40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1 and reissue in part. We note the change in this risk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 heading from "significantly restrict" to "affect." Please restore this risk factor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heading to the previous version found in the registration statement dated August 25, 2023.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 you risk factor contemplates that government authorities could prohibit or limit the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collection of data, the previous risk factor heading better reflects the content of the risk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Capitalization, page 63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to us why you have not included loans outstanding in the table pursuant to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3.B of Form 20-F as directed by Item 4.a of Form F-1, or revise as appropriate.</w:t>
      </w:r>
    </w:p>
    <w:p>
      <w:pPr>
        <w:ind w:right="191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to us and disclose how the balance of deferred listing costs at June 30, 2023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reflected in the "As adjusted" column.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Zhen Fan</w:t>
      </w:r>
    </w:p>
    <w:p>
      <w:pPr>
        <w:ind w:right="727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Haoxi Health Technology Ltd November 15, 2023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Dilution, page 64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to us and disclose how the balance of deferred listing costs at June 30, 2023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reflected in adjusted net tangible book value at June 30, 2023. Management's Discussion and Analysis of Financial Condition and Results of Operations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Liquidity and Capital Resources, page 69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significant increase in supplier advances at June 30, 2023 from June 30,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2022. If this is a known contractual obligation or material cash requirement, please expand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discussion to clearly explain the use of advances to suppliers. Refer to Item 5.B and</w:t>
      </w:r>
    </w:p>
    <w:p>
      <w:pPr>
        <w:ind w:right="2119" w:firstLine="948"/>
        <w:spacing w:after="0" w:line="273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5.B.3 of Form 20-F as referenced from Item 4.a of Form F-1. Consolidated Financial Statements for the Years Ended June 30, 2023 and 2022 Consolidated Statements of Cash Flows, page F-6</w:t>
      </w:r>
    </w:p>
    <w:p>
      <w:pPr>
        <w:spacing w:after="0" w:line="82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reconcile for us the amounts presented here for changes in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balance sheet line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items with the change in the corresponding line item presented in the consolidated balance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sheets. For example (but not limited to), the amount presented here for the change in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"Advance payment" is $2,473,178 but the change on the balance sheet 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"Supplier</w:t>
      </w: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advances" is $2,373,648, and the amount presented here for the change in "Accounts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payable" is $1,201,034 but the change on the balance sheet in "Accounts payable" is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$1,244,298.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Consolidated Financial Statements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4. Advances to Suppliers, net, page F-16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Here you refer to "Advances to Suppliers, net," the balance sheet refers to "Supplier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advances," the operating activities section of the cash flow statement refers to "Advance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payment," note 2(f) refers to "Prepayment to suppliers, net" and page 70 refers to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"advance payments to media platforms." If all of these descriptions refer to the same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activity, please revise to use one description consistently and what it is net of. If they refer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differing activities, disclose how they are distinquished and your accounting for each.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revise to disclose here and elsewhere as appropriate the specific nature of this/these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activity/activities. Along with your revised disclosure, explain to us and disclose as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 how payments represented here relate to your references to "traffic acquisition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LastNameZhen Fan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top online media platforms" and "prepayments for future traffic acquisition" referred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NameHaoxi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320" w:type="dxa"/>
            <w:vAlign w:val="bottom"/>
            <w:gridSpan w:val="2"/>
          </w:tcPr>
          <w:p>
            <w:pPr>
              <w:ind w:left="7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elsewhere</w:t>
            </w:r>
          </w:p>
        </w:tc>
        <w:tc>
          <w:tcPr>
            <w:tcW w:w="5480" w:type="dxa"/>
            <w:vAlign w:val="bottom"/>
          </w:tcPr>
          <w:p>
            <w:pPr>
              <w:ind w:left="4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Health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0" w:type="dxa"/>
            <w:vAlign w:val="bottom"/>
            <w:gridSpan w:val="2"/>
          </w:tcPr>
          <w:p>
            <w:pPr>
              <w:ind w:left="1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the  filingTechnology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</w:tcPr>
          <w:p>
            <w:pPr>
              <w:ind w:left="14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(e.g., pages 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</w:tcPr>
          <w:p>
            <w:pPr>
              <w:ind w:left="28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74, 83 and F-10) and what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8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traffic acquisition in this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7800" w:type="dxa"/>
            <w:vAlign w:val="bottom"/>
            <w:gridSpan w:val="3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context  represents.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8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November 15, 2023 Page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5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Zhen Fan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FirstName LastNameZhen</w:t>
            </w:r>
          </w:p>
        </w:tc>
        <w:tc>
          <w:tcPr>
            <w:tcW w:w="54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8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Haoxi Health Technology 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15,</w:t>
            </w:r>
          </w:p>
        </w:tc>
        <w:tc>
          <w:tcPr>
            <w:tcW w:w="5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November</w:t>
            </w:r>
          </w:p>
        </w:tc>
        <w:tc>
          <w:tcPr>
            <w:tcW w:w="13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NameHaoxi</w:t>
            </w:r>
          </w:p>
        </w:tc>
        <w:tc>
          <w:tcPr>
            <w:tcW w:w="5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Health Technology 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November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</w:t>
            </w:r>
          </w:p>
        </w:tc>
        <w:tc>
          <w:tcPr>
            <w:tcW w:w="548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15, 2023 Page 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4</w:t>
            </w:r>
          </w:p>
        </w:tc>
        <w:tc>
          <w:tcPr>
            <w:tcW w:w="6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5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800" w:type="dxa"/>
            <w:vAlign w:val="bottom"/>
            <w:gridSpan w:val="3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contact Robert Shapiro at 202-551-3273 or Doug Jones 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202-551-3309 if you</w:t>
            </w:r>
          </w:p>
        </w:tc>
        <w:tc>
          <w:tcPr>
            <w:tcW w:w="5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8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have questions regarding comments on the financial statements and related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matters. Please</w:t>
            </w:r>
          </w:p>
        </w:tc>
        <w:tc>
          <w:tcPr>
            <w:tcW w:w="5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 Nicholas Nalbantian at 202-551-7470 or Erin Jaskot at 202-551-3442 with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Ying Li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1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2024-02-26T00:22:26Z</dcterms:created>
  <dcterms:modified xsi:type="dcterms:W3CDTF">2024-02-26T00:22:26Z</dcterms:modified>
</cp:coreProperties>
</file>